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solid" w:color="FFFFFF" w:fill="auto"/>
        <w:autoSpaceDN w:val="0"/>
        <w:spacing w:line="330" w:lineRule="atLeast"/>
        <w:jc w:val="left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  <w:lang w:val="en-US" w:eastAsia="zh-CN"/>
        </w:rPr>
        <w:t>:</w:t>
      </w:r>
    </w:p>
    <w:p>
      <w:pPr>
        <w:shd w:val="solid" w:color="FFFFFF" w:fill="auto"/>
        <w:autoSpaceDN w:val="0"/>
        <w:spacing w:line="330" w:lineRule="atLeast"/>
        <w:jc w:val="center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hint="eastAsia" w:ascii="方正小标宋简体" w:hAnsi="宋体" w:eastAsia="方正小标宋简体"/>
          <w:color w:val="000000"/>
          <w:sz w:val="36"/>
          <w:szCs w:val="32"/>
          <w:shd w:val="clear" w:color="auto" w:fill="FFFFFF"/>
        </w:rPr>
        <w:t>国家机关事务管理局会计档案归档范围及保管期限表</w:t>
      </w:r>
    </w:p>
    <w:tbl>
      <w:tblPr>
        <w:tblStyle w:val="5"/>
        <w:tblW w:w="8956" w:type="dxa"/>
        <w:jc w:val="center"/>
        <w:tblInd w:w="-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3262"/>
        <w:gridCol w:w="1276"/>
        <w:gridCol w:w="3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序号</w:t>
            </w:r>
          </w:p>
        </w:tc>
        <w:tc>
          <w:tcPr>
            <w:tcW w:w="32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档 案 名 称</w:t>
            </w:r>
          </w:p>
        </w:tc>
        <w:tc>
          <w:tcPr>
            <w:tcW w:w="1276" w:type="dxa"/>
            <w:tcBorders>
              <w:top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b/>
                <w:color w:val="000000"/>
                <w:sz w:val="24"/>
                <w:shd w:val="clear" w:color="auto" w:fill="FFFFFF"/>
              </w:rPr>
              <w:t>保管期限</w:t>
            </w:r>
          </w:p>
        </w:tc>
        <w:tc>
          <w:tcPr>
            <w:tcW w:w="33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备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一</w:t>
            </w:r>
          </w:p>
        </w:tc>
        <w:tc>
          <w:tcPr>
            <w:tcW w:w="792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ind w:firstLine="20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会计凭证类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3262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会计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凭证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30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年</w:t>
            </w:r>
          </w:p>
        </w:tc>
        <w:tc>
          <w:tcPr>
            <w:tcW w:w="338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二</w:t>
            </w:r>
          </w:p>
        </w:tc>
        <w:tc>
          <w:tcPr>
            <w:tcW w:w="792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ind w:firstLine="20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会计账簿类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3262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总账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30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年</w:t>
            </w:r>
          </w:p>
        </w:tc>
        <w:tc>
          <w:tcPr>
            <w:tcW w:w="338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left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3262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明细账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30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年</w:t>
            </w:r>
          </w:p>
        </w:tc>
        <w:tc>
          <w:tcPr>
            <w:tcW w:w="338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3262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日记账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30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年</w:t>
            </w:r>
          </w:p>
        </w:tc>
        <w:tc>
          <w:tcPr>
            <w:tcW w:w="338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3262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其他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辅助账簿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30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年</w:t>
            </w:r>
          </w:p>
        </w:tc>
        <w:tc>
          <w:tcPr>
            <w:tcW w:w="338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326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固定资产卡片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38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固定资产报废清理后保管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10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三</w:t>
            </w:r>
          </w:p>
        </w:tc>
        <w:tc>
          <w:tcPr>
            <w:tcW w:w="792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ind w:firstLine="20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财务</w:t>
            </w:r>
            <w:r>
              <w:rPr>
                <w:rFonts w:hint="eastAsia" w:ascii="宋体" w:hAnsi="宋体"/>
                <w:b/>
                <w:color w:val="000000"/>
                <w:sz w:val="24"/>
                <w:shd w:val="clear" w:color="auto" w:fill="FFFFFF"/>
              </w:rPr>
              <w:t>会计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报告类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3262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部门决算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永久</w:t>
            </w:r>
          </w:p>
        </w:tc>
        <w:tc>
          <w:tcPr>
            <w:tcW w:w="338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所属单位报送的保管2年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3262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部门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财务报告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永久</w:t>
            </w:r>
          </w:p>
        </w:tc>
        <w:tc>
          <w:tcPr>
            <w:tcW w:w="338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所属单位报送的保管2年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3262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月度、季度、半年度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财务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会计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报告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10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年</w:t>
            </w:r>
          </w:p>
        </w:tc>
        <w:tc>
          <w:tcPr>
            <w:tcW w:w="338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lef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所属单位报送的保管2年</w:t>
            </w:r>
          </w:p>
          <w:p>
            <w:pPr>
              <w:shd w:val="solid" w:color="FFFFFF" w:fill="auto"/>
              <w:autoSpaceDN w:val="0"/>
              <w:spacing w:line="330" w:lineRule="atLeast"/>
              <w:jc w:val="left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3262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年度财务会计报告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永久</w:t>
            </w:r>
          </w:p>
        </w:tc>
        <w:tc>
          <w:tcPr>
            <w:tcW w:w="338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lef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四</w:t>
            </w:r>
          </w:p>
        </w:tc>
        <w:tc>
          <w:tcPr>
            <w:tcW w:w="792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ind w:firstLine="20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工资类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3262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工资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相关材料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10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年</w:t>
            </w:r>
          </w:p>
        </w:tc>
        <w:tc>
          <w:tcPr>
            <w:tcW w:w="338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3262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公积金相关材料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10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年</w:t>
            </w:r>
          </w:p>
        </w:tc>
        <w:tc>
          <w:tcPr>
            <w:tcW w:w="338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3262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社保相关材料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10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年</w:t>
            </w:r>
          </w:p>
        </w:tc>
        <w:tc>
          <w:tcPr>
            <w:tcW w:w="338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3262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个税相关材料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10年</w:t>
            </w:r>
          </w:p>
        </w:tc>
        <w:tc>
          <w:tcPr>
            <w:tcW w:w="338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lef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五</w:t>
            </w:r>
          </w:p>
        </w:tc>
        <w:tc>
          <w:tcPr>
            <w:tcW w:w="792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ind w:firstLine="20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其他</w:t>
            </w:r>
            <w:r>
              <w:rPr>
                <w:rFonts w:hint="eastAsia" w:ascii="宋体" w:hAnsi="宋体"/>
                <w:b/>
                <w:color w:val="000000"/>
                <w:sz w:val="24"/>
                <w:shd w:val="clear" w:color="auto" w:fill="FFFFFF"/>
              </w:rPr>
              <w:t>会计资料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3262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银行存款余额调节表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10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年</w:t>
            </w:r>
          </w:p>
        </w:tc>
        <w:tc>
          <w:tcPr>
            <w:tcW w:w="338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3262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银行对账单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10年</w:t>
            </w:r>
          </w:p>
        </w:tc>
        <w:tc>
          <w:tcPr>
            <w:tcW w:w="338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3262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纳税申报表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10年</w:t>
            </w:r>
          </w:p>
        </w:tc>
        <w:tc>
          <w:tcPr>
            <w:tcW w:w="338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3262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会计档案移交清册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30年</w:t>
            </w:r>
          </w:p>
        </w:tc>
        <w:tc>
          <w:tcPr>
            <w:tcW w:w="338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3262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会计档案保管清册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永久</w:t>
            </w:r>
          </w:p>
        </w:tc>
        <w:tc>
          <w:tcPr>
            <w:tcW w:w="338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3262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会计档案销毁意见书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永久</w:t>
            </w:r>
          </w:p>
        </w:tc>
        <w:tc>
          <w:tcPr>
            <w:tcW w:w="338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lef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3262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会计档案销毁清册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永久</w:t>
            </w:r>
          </w:p>
        </w:tc>
        <w:tc>
          <w:tcPr>
            <w:tcW w:w="3386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lef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pacing w:line="330" w:lineRule="atLeast"/>
        <w:rPr>
          <w:rFonts w:ascii="宋体" w:hAnsi="宋体"/>
          <w:color w:val="000000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sz w:val="21"/>
          <w:szCs w:val="21"/>
          <w:shd w:val="clear" w:color="auto" w:fill="FFFFFF"/>
        </w:rPr>
        <w:t>说明：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br/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1.电子会计档案的保管期限与同类别纸质会计档案的保管期限相同。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br/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2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.同一介质上有不同保管期限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的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会计档案，应按最长期限保管。同一会计档案采用不同介质保存的，至少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纸质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会计档案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应当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满足保管期限的要求。</w:t>
      </w:r>
    </w:p>
    <w:p>
      <w:pPr>
        <w:shd w:val="solid" w:color="FFFFFF" w:fill="auto"/>
        <w:autoSpaceDN w:val="0"/>
        <w:spacing w:line="330" w:lineRule="atLeast"/>
      </w:pP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3.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各单位的预算、计划、制度等文件材料，应当执行文书档案管理规定，不适用本办法。为方便审计、纪检监察等工作，可以将预算文件列入归档范围，单独立卷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，保管期限为10年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905E9"/>
    <w:rsid w:val="00531668"/>
    <w:rsid w:val="00937241"/>
    <w:rsid w:val="009572DD"/>
    <w:rsid w:val="00A905E9"/>
    <w:rsid w:val="00E6035E"/>
    <w:rsid w:val="2AD90C8B"/>
    <w:rsid w:val="3BFD2258"/>
    <w:rsid w:val="710D07B8"/>
    <w:rsid w:val="72A4061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559</Characters>
  <Lines>4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2017-07-12T07:07:00Z</dcterms:created>
  <dc:creator>user</dc:creator>
  <cp:lastModifiedBy>Administrator</cp:lastModifiedBy>
  <cp:lastPrinted>2018-02-05T08:07:10Z</cp:lastPrinted>
  <dcterms:modified xsi:type="dcterms:W3CDTF">2018-02-05T08:07:13Z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