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jc w:val="both"/>
        <w:textAlignment w:val="baseline"/>
        <w:outlineLvl w:val="9"/>
        <w:rPr>
          <w:rFonts w:hint="eastAsia" w:ascii="方正黑体简体" w:hAnsi="方正黑体简体" w:eastAsia="方正黑体简体" w:cs="方正黑体简体"/>
          <w:spacing w:val="-11"/>
          <w:sz w:val="32"/>
          <w:szCs w:val="32"/>
          <w:lang w:val="en-US" w:eastAsia="zh-CN"/>
        </w:rPr>
      </w:pPr>
      <w:r>
        <w:rPr>
          <w:rFonts w:hint="eastAsia" w:ascii="方正黑体简体" w:hAnsi="方正黑体简体" w:eastAsia="方正黑体简体" w:cs="方正黑体简体"/>
          <w:spacing w:val="-11"/>
          <w:sz w:val="32"/>
          <w:szCs w:val="32"/>
          <w:lang w:val="en-US" w:eastAsia="zh-CN"/>
        </w:rPr>
        <w:t>附  件</w:t>
      </w:r>
    </w:p>
    <w:p>
      <w:pPr>
        <w:widowControl w:val="0"/>
        <w:wordWrap/>
        <w:adjustRightInd/>
        <w:snapToGrid/>
        <w:spacing w:line="560" w:lineRule="exact"/>
        <w:jc w:val="both"/>
        <w:textAlignment w:val="baseline"/>
        <w:outlineLvl w:val="9"/>
        <w:rPr>
          <w:rFonts w:hint="eastAsia" w:ascii="方正黑体简体" w:hAnsi="方正黑体简体" w:eastAsia="方正黑体简体" w:cs="方正黑体简体"/>
          <w:spacing w:val="-11"/>
          <w:sz w:val="28"/>
          <w:szCs w:val="28"/>
          <w:lang w:val="en-US" w:eastAsia="zh-CN"/>
        </w:rPr>
      </w:pPr>
    </w:p>
    <w:p>
      <w:pPr>
        <w:widowControl w:val="0"/>
        <w:wordWrap/>
        <w:adjustRightInd/>
        <w:snapToGrid/>
        <w:spacing w:line="560" w:lineRule="exact"/>
        <w:jc w:val="center"/>
        <w:textAlignment w:val="baseline"/>
        <w:outlineLvl w:val="9"/>
        <w:rPr>
          <w:rFonts w:hint="default" w:ascii="方正小标宋简体" w:hAnsi="方正小标宋简体" w:eastAsia="方正小标宋简体"/>
          <w:spacing w:val="-11"/>
          <w:sz w:val="44"/>
          <w:lang w:val="en-US" w:eastAsia="zh-CN"/>
        </w:rPr>
      </w:pPr>
      <w:r>
        <w:rPr>
          <w:rFonts w:hint="eastAsia" w:ascii="方正小标宋简体" w:hAnsi="方正小标宋简体" w:eastAsia="方正小标宋简体"/>
          <w:spacing w:val="-11"/>
          <w:sz w:val="44"/>
          <w:lang w:eastAsia="zh-CN"/>
        </w:rPr>
        <w:t>国管局会计政策与会计估计应用指南第</w:t>
      </w:r>
      <w:r>
        <w:rPr>
          <w:rFonts w:hint="eastAsia" w:ascii="方正小标宋简体" w:hAnsi="方正小标宋简体" w:eastAsia="方正小标宋简体"/>
          <w:spacing w:val="-11"/>
          <w:sz w:val="44"/>
          <w:lang w:val="en-US" w:eastAsia="zh-CN"/>
        </w:rPr>
        <w:t>5</w:t>
      </w:r>
      <w:r>
        <w:rPr>
          <w:rFonts w:hint="eastAsia" w:ascii="方正小标宋简体" w:hAnsi="方正小标宋简体" w:eastAsia="方正小标宋简体"/>
          <w:spacing w:val="-11"/>
          <w:sz w:val="44"/>
          <w:lang w:eastAsia="zh-CN"/>
        </w:rPr>
        <w:t>号</w:t>
      </w:r>
    </w:p>
    <w:p>
      <w:pPr>
        <w:widowControl w:val="0"/>
        <w:wordWrap/>
        <w:adjustRightInd/>
        <w:snapToGrid/>
        <w:spacing w:line="560" w:lineRule="exact"/>
        <w:jc w:val="center"/>
        <w:textAlignment w:val="baseline"/>
        <w:outlineLvl w:val="9"/>
        <w:rPr>
          <w:rFonts w:hint="eastAsia" w:ascii="方正楷体简体" w:hAnsi="方正楷体简体" w:eastAsia="方正楷体简体" w:cs="方正楷体简体"/>
          <w:spacing w:val="-11"/>
          <w:sz w:val="32"/>
          <w:szCs w:val="32"/>
          <w:lang w:val="en-US" w:eastAsia="zh-CN"/>
        </w:rPr>
      </w:pPr>
      <w:r>
        <w:rPr>
          <w:rFonts w:hint="eastAsia" w:ascii="方正楷体简体" w:hAnsi="方正楷体简体" w:eastAsia="方正楷体简体" w:cs="方正楷体简体"/>
          <w:spacing w:val="-11"/>
          <w:sz w:val="32"/>
          <w:szCs w:val="32"/>
          <w:lang w:val="en-US" w:eastAsia="zh-CN"/>
        </w:rPr>
        <w:t>——存货</w:t>
      </w:r>
    </w:p>
    <w:p>
      <w:pPr>
        <w:widowControl w:val="0"/>
        <w:wordWrap/>
        <w:adjustRightInd/>
        <w:snapToGrid/>
        <w:spacing w:line="560" w:lineRule="exact"/>
        <w:jc w:val="center"/>
        <w:textAlignment w:val="baseline"/>
        <w:outlineLvl w:val="9"/>
        <w:rPr>
          <w:rFonts w:hint="eastAsia"/>
          <w:szCs w:val="22"/>
          <w:lang w:eastAsia="zh-CN"/>
        </w:rPr>
      </w:pPr>
      <w:r>
        <w:rPr>
          <w:rFonts w:hint="eastAsia"/>
          <w:szCs w:val="22"/>
          <w:lang w:eastAsia="zh-CN"/>
        </w:rPr>
        <w:t>（征求意见稿）</w:t>
      </w:r>
    </w:p>
    <w:p>
      <w:pPr>
        <w:widowControl w:val="0"/>
        <w:wordWrap/>
        <w:adjustRightInd/>
        <w:snapToGrid/>
        <w:spacing w:line="560" w:lineRule="exact"/>
        <w:textAlignment w:val="baseline"/>
      </w:pPr>
    </w:p>
    <w:p>
      <w:pPr>
        <w:widowControl w:val="0"/>
        <w:wordWrap/>
        <w:adjustRightInd/>
        <w:snapToGrid/>
        <w:spacing w:line="560" w:lineRule="exact"/>
        <w:ind w:firstLineChars="200"/>
        <w:textAlignment w:val="baseline"/>
        <w:outlineLvl w:val="9"/>
        <w:rPr>
          <w:rFonts w:hint="eastAsia" w:ascii="方正黑体简体" w:hAnsi="方正黑体简体" w:eastAsia="方正黑体简体"/>
          <w:lang w:val="en-US" w:eastAsia="zh-CN"/>
        </w:rPr>
      </w:pPr>
      <w:r>
        <w:rPr>
          <w:rFonts w:hint="eastAsia" w:ascii="方正黑体简体" w:hAnsi="方正黑体简体" w:eastAsia="方正黑体简体"/>
        </w:rPr>
        <w:t>一、</w:t>
      </w:r>
      <w:r>
        <w:rPr>
          <w:rFonts w:hint="eastAsia" w:ascii="方正黑体简体" w:hAnsi="方正黑体简体" w:eastAsia="方正黑体简体"/>
          <w:lang w:eastAsia="zh-CN"/>
        </w:rPr>
        <w:t>存货的确认</w:t>
      </w:r>
    </w:p>
    <w:p>
      <w:pPr>
        <w:widowControl w:val="0"/>
        <w:wordWrap/>
        <w:adjustRightInd/>
        <w:snapToGrid/>
        <w:spacing w:line="560" w:lineRule="exact"/>
        <w:ind w:firstLineChars="200"/>
        <w:textAlignment w:val="baseline"/>
        <w:outlineLvl w:val="9"/>
        <w:rPr>
          <w:rFonts w:hint="eastAsia" w:cs="Times New Roman"/>
          <w:szCs w:val="22"/>
          <w:lang w:eastAsia="zh-CN"/>
        </w:rPr>
      </w:pPr>
      <w:r>
        <w:rPr>
          <w:rFonts w:hint="eastAsia" w:ascii="方正楷体简体" w:hAnsi="方正楷体简体" w:eastAsia="方正楷体简体" w:cs="方正楷体简体"/>
          <w:lang w:eastAsia="zh-CN"/>
        </w:rPr>
        <w:t>（一）存货的概念。</w:t>
      </w:r>
      <w:r>
        <w:rPr>
          <w:rFonts w:hint="eastAsia"/>
        </w:rPr>
        <w:t>存货，是指</w:t>
      </w:r>
      <w:r>
        <w:rPr>
          <w:rFonts w:hint="eastAsia"/>
          <w:lang w:eastAsia="zh-CN"/>
        </w:rPr>
        <w:t>会计主体</w:t>
      </w:r>
      <w:r>
        <w:rPr>
          <w:rFonts w:hint="eastAsia"/>
        </w:rPr>
        <w:t>在开展业务活动及其他</w:t>
      </w:r>
      <w:r>
        <w:rPr>
          <w:rFonts w:hint="eastAsia"/>
          <w:lang w:eastAsia="zh-CN"/>
        </w:rPr>
        <w:t>日常</w:t>
      </w:r>
      <w:r>
        <w:rPr>
          <w:rFonts w:hint="eastAsia"/>
        </w:rPr>
        <w:t>活动中为耗用或出售而储存的资产，如材料、产品、包装物和低值易耗品等，以及未达到固定资产标准的用具、装</w:t>
      </w:r>
      <w:r>
        <w:rPr>
          <w:rFonts w:hint="eastAsia" w:cs="Times New Roman"/>
          <w:szCs w:val="22"/>
          <w:lang w:eastAsia="zh-CN"/>
        </w:rPr>
        <w:t>具、动植物等。</w:t>
      </w:r>
    </w:p>
    <w:p>
      <w:pPr>
        <w:widowControl w:val="0"/>
        <w:wordWrap/>
        <w:adjustRightInd/>
        <w:snapToGrid/>
        <w:spacing w:line="560" w:lineRule="exact"/>
        <w:ind w:firstLineChars="200"/>
        <w:textAlignment w:val="baseline"/>
        <w:outlineLvl w:val="9"/>
        <w:rPr>
          <w:rFonts w:hint="eastAsia" w:cs="Times New Roman"/>
          <w:szCs w:val="22"/>
          <w:lang w:val="en-US" w:eastAsia="zh-CN"/>
        </w:rPr>
      </w:pPr>
      <w:r>
        <w:rPr>
          <w:rFonts w:hint="eastAsia" w:ascii="方正楷体简体" w:hAnsi="方正楷体简体" w:eastAsia="方正楷体简体" w:cs="方正楷体简体"/>
          <w:lang w:eastAsia="zh-CN"/>
        </w:rPr>
        <w:t>（二）存货的确认条件。</w:t>
      </w:r>
      <w:r>
        <w:rPr>
          <w:rFonts w:hint="eastAsia" w:cs="Times New Roman"/>
          <w:szCs w:val="22"/>
          <w:lang w:val="en-US" w:eastAsia="zh-CN"/>
        </w:rPr>
        <w:t>存货同时满足下列条件的，应当予以确认：</w:t>
      </w:r>
    </w:p>
    <w:p>
      <w:pPr>
        <w:widowControl w:val="0"/>
        <w:wordWrap/>
        <w:adjustRightInd/>
        <w:snapToGrid/>
        <w:spacing w:line="560" w:lineRule="exact"/>
        <w:ind w:firstLineChars="200"/>
        <w:textAlignment w:val="baseline"/>
        <w:outlineLvl w:val="9"/>
        <w:rPr>
          <w:rFonts w:hint="eastAsia" w:cs="Times New Roman"/>
          <w:szCs w:val="22"/>
          <w:lang w:val="en-US" w:eastAsia="zh-CN"/>
        </w:rPr>
      </w:pPr>
      <w:r>
        <w:rPr>
          <w:rFonts w:hint="eastAsia" w:cs="Times New Roman"/>
          <w:szCs w:val="22"/>
          <w:lang w:val="en-US" w:eastAsia="zh-CN"/>
        </w:rPr>
        <w:t>1.与该存货相关的服务潜力很可能实现或者经济利益很可能流入会计主体。</w:t>
      </w:r>
    </w:p>
    <w:p>
      <w:pPr>
        <w:widowControl w:val="0"/>
        <w:wordWrap/>
        <w:adjustRightInd/>
        <w:snapToGrid/>
        <w:spacing w:line="560" w:lineRule="exact"/>
        <w:ind w:firstLineChars="200"/>
        <w:textAlignment w:val="baseline"/>
        <w:outlineLvl w:val="9"/>
        <w:rPr>
          <w:rFonts w:hint="eastAsia" w:cs="Times New Roman"/>
          <w:szCs w:val="22"/>
          <w:lang w:val="en-US" w:eastAsia="zh-CN"/>
        </w:rPr>
      </w:pPr>
      <w:r>
        <w:rPr>
          <w:rFonts w:hint="eastAsia" w:cs="Times New Roman"/>
          <w:szCs w:val="22"/>
          <w:lang w:val="en-US" w:eastAsia="zh-CN"/>
        </w:rPr>
        <w:t>2.该存货的成本或者价值能够可靠地计量。</w:t>
      </w:r>
    </w:p>
    <w:p>
      <w:pPr>
        <w:widowControl w:val="0"/>
        <w:wordWrap/>
        <w:adjustRightInd/>
        <w:snapToGrid/>
        <w:spacing w:line="560" w:lineRule="exact"/>
        <w:ind w:firstLineChars="200"/>
        <w:textAlignment w:val="baseline"/>
        <w:outlineLvl w:val="9"/>
        <w:rPr>
          <w:rFonts w:hint="eastAsia" w:ascii="方正黑体简体" w:hAnsi="方正黑体简体" w:eastAsia="方正黑体简体" w:cs="方正黑体简体"/>
          <w:szCs w:val="22"/>
          <w:lang w:val="en-US" w:eastAsia="zh-CN"/>
        </w:rPr>
      </w:pPr>
      <w:r>
        <w:rPr>
          <w:rFonts w:hint="eastAsia" w:ascii="方正黑体简体" w:hAnsi="方正黑体简体" w:eastAsia="方正黑体简体" w:cs="方正黑体简体"/>
          <w:szCs w:val="22"/>
          <w:lang w:val="en-US" w:eastAsia="zh-CN"/>
        </w:rPr>
        <w:t>二、存货的初始计量</w:t>
      </w:r>
    </w:p>
    <w:p>
      <w:pPr>
        <w:widowControl w:val="0"/>
        <w:wordWrap/>
        <w:adjustRightInd/>
        <w:snapToGrid/>
        <w:spacing w:line="560" w:lineRule="exact"/>
        <w:ind w:firstLineChars="200"/>
        <w:textAlignment w:val="baseline"/>
        <w:outlineLvl w:val="9"/>
        <w:rPr>
          <w:rFonts w:hint="default" w:cs="Times New Roman"/>
          <w:szCs w:val="22"/>
          <w:lang w:val="en-US" w:eastAsia="zh-CN"/>
        </w:rPr>
      </w:pPr>
      <w:r>
        <w:rPr>
          <w:rFonts w:hint="default" w:cs="Times New Roman"/>
          <w:szCs w:val="22"/>
          <w:lang w:val="en-US" w:eastAsia="zh-CN"/>
        </w:rPr>
        <w:t>存货在取得时应当按照成本进行初始计量。</w:t>
      </w:r>
      <w:r>
        <w:rPr>
          <w:rFonts w:hint="eastAsia" w:cs="Times New Roman"/>
          <w:szCs w:val="22"/>
          <w:lang w:val="en-US" w:eastAsia="zh-CN"/>
        </w:rPr>
        <w:t>外购取得的存货</w:t>
      </w:r>
      <w:r>
        <w:rPr>
          <w:rFonts w:hint="default" w:cs="Times New Roman"/>
          <w:szCs w:val="22"/>
          <w:lang w:val="en-US" w:eastAsia="zh-CN"/>
        </w:rPr>
        <w:t>成本包括</w:t>
      </w:r>
      <w:r>
        <w:rPr>
          <w:rFonts w:hint="eastAsia" w:cs="Times New Roman"/>
          <w:szCs w:val="22"/>
          <w:lang w:val="en-US" w:eastAsia="zh-CN"/>
        </w:rPr>
        <w:t>不含税</w:t>
      </w:r>
      <w:r>
        <w:rPr>
          <w:rFonts w:hint="default" w:cs="Times New Roman"/>
          <w:szCs w:val="22"/>
          <w:lang w:val="en-US" w:eastAsia="zh-CN"/>
        </w:rPr>
        <w:t>价款、相关税费、运输费、装卸费、保险费以及使得存货达到目前场所和状态所发生的归属于存货成本的其他支出。</w:t>
      </w:r>
    </w:p>
    <w:p>
      <w:pPr>
        <w:widowControl w:val="0"/>
        <w:wordWrap/>
        <w:adjustRightInd/>
        <w:snapToGrid/>
        <w:spacing w:line="560" w:lineRule="exact"/>
        <w:ind w:firstLineChars="200"/>
        <w:textAlignment w:val="baseline"/>
        <w:outlineLvl w:val="9"/>
        <w:rPr>
          <w:rFonts w:hint="eastAsia"/>
          <w:lang w:val="en-US" w:eastAsia="zh-CN"/>
        </w:rPr>
      </w:pPr>
      <w:r>
        <w:rPr>
          <w:rFonts w:hint="eastAsia"/>
          <w:lang w:val="en-US" w:eastAsia="zh-CN"/>
        </w:rPr>
        <w:t>其他方式取得的存货，应当按照以下原则确定存货成本：</w:t>
      </w:r>
    </w:p>
    <w:p>
      <w:pPr>
        <w:widowControl w:val="0"/>
        <w:wordWrap/>
        <w:adjustRightInd/>
        <w:snapToGrid/>
        <w:spacing w:line="560" w:lineRule="exact"/>
        <w:ind w:firstLineChars="200"/>
        <w:textAlignment w:val="baseline"/>
        <w:outlineLvl w:val="9"/>
        <w:rPr>
          <w:rFonts w:hint="default" w:cs="Times New Roman"/>
          <w:lang w:val="en-US" w:eastAsia="zh-CN"/>
        </w:rPr>
      </w:pPr>
      <w:r>
        <w:rPr>
          <w:rFonts w:hint="eastAsia"/>
          <w:lang w:val="en-US" w:eastAsia="zh-CN"/>
        </w:rPr>
        <w:t>（一）</w:t>
      </w:r>
      <w:r>
        <w:rPr>
          <w:rFonts w:hint="default" w:cs="Times New Roman"/>
          <w:lang w:val="en-US" w:eastAsia="zh-CN"/>
        </w:rPr>
        <w:t>接受捐赠的存货，其成本按照有关凭据注明的金额加上相关税费、运输费等确定；没有相关凭据可供取得，但按规定经过资产评估的，其成本按照</w:t>
      </w:r>
      <w:r>
        <w:rPr>
          <w:rFonts w:hint="eastAsia" w:cs="Times New Roman"/>
          <w:lang w:val="en-US" w:eastAsia="zh-CN"/>
        </w:rPr>
        <w:t>评估价值加上相关税费、运输费等确定；没有相关凭据可供取得、也未经资产评估的，其成本比照同类或类似资产的市场价格加上相关税费、运输费等确定。</w:t>
      </w:r>
    </w:p>
    <w:p>
      <w:pPr>
        <w:widowControl w:val="0"/>
        <w:wordWrap/>
        <w:adjustRightInd/>
        <w:snapToGrid/>
        <w:spacing w:line="560" w:lineRule="exact"/>
        <w:ind w:firstLineChars="200"/>
        <w:textAlignment w:val="baseline"/>
        <w:outlineLvl w:val="9"/>
        <w:rPr>
          <w:rFonts w:hint="default" w:cs="Times New Roman"/>
          <w:lang w:val="en-US" w:eastAsia="zh-CN"/>
        </w:rPr>
      </w:pPr>
      <w:r>
        <w:rPr>
          <w:rFonts w:hint="eastAsia"/>
          <w:lang w:val="en-US" w:eastAsia="zh-CN"/>
        </w:rPr>
        <w:t>（二）</w:t>
      </w:r>
      <w:r>
        <w:rPr>
          <w:rFonts w:hint="eastAsia" w:cs="Times New Roman"/>
          <w:color w:val="auto"/>
          <w:kern w:val="2"/>
          <w:sz w:val="32"/>
          <w:szCs w:val="20"/>
          <w:lang w:val="en-US" w:eastAsia="zh-CN" w:bidi="ar-SA"/>
        </w:rPr>
        <w:t>无偿调入的存货，其成本按照调出方账面价值加上相关税费、运输费等确定。</w:t>
      </w:r>
    </w:p>
    <w:p>
      <w:pPr>
        <w:pStyle w:val="4"/>
        <w:widowControl w:val="0"/>
        <w:wordWrap w:val="0"/>
        <w:overflowPunct w:val="0"/>
        <w:adjustRightInd/>
        <w:snapToGrid w:val="0"/>
        <w:spacing w:line="560" w:lineRule="exact"/>
        <w:ind w:firstLine="640" w:firstLineChars="200"/>
        <w:jc w:val="both"/>
        <w:textAlignment w:val="baseline"/>
        <w:outlineLvl w:val="9"/>
        <w:rPr>
          <w:rFonts w:hint="default"/>
          <w:lang w:val="en-US" w:eastAsia="zh-CN"/>
        </w:rPr>
      </w:pPr>
      <w:r>
        <w:rPr>
          <w:rFonts w:hint="eastAsia" w:ascii="宋体" w:hAnsi="宋体" w:eastAsia="方正仿宋简体" w:cs="Times New Roman"/>
          <w:kern w:val="2"/>
          <w:sz w:val="32"/>
          <w:szCs w:val="22"/>
          <w:lang w:val="en-US" w:eastAsia="zh-CN"/>
        </w:rPr>
        <w:t>（三）盘盈的存货，按规定经过资产评估的，其成本按照评估价值确定；未经资产</w:t>
      </w:r>
      <w:r>
        <w:rPr>
          <w:rFonts w:hint="eastAsia" w:cs="Times New Roman"/>
          <w:color w:val="auto"/>
          <w:kern w:val="2"/>
          <w:sz w:val="32"/>
          <w:szCs w:val="20"/>
          <w:lang w:val="en-US" w:eastAsia="zh-CN" w:bidi="ar-SA"/>
        </w:rPr>
        <w:t>评估的，其成本按照重置成本确定。</w:t>
      </w:r>
    </w:p>
    <w:p>
      <w:pPr>
        <w:widowControl w:val="0"/>
        <w:wordWrap/>
        <w:adjustRightInd/>
        <w:snapToGrid/>
        <w:spacing w:line="560" w:lineRule="exact"/>
        <w:ind w:firstLine="640" w:firstLineChars="200"/>
        <w:textAlignment w:val="baseline"/>
        <w:outlineLvl w:val="9"/>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三、存货的日常管理</w:t>
      </w:r>
    </w:p>
    <w:p>
      <w:pPr>
        <w:widowControl w:val="0"/>
        <w:wordWrap/>
        <w:adjustRightInd/>
        <w:snapToGrid/>
        <w:spacing w:line="560" w:lineRule="exact"/>
        <w:ind w:firstLineChars="200"/>
        <w:textAlignment w:val="baseline"/>
        <w:outlineLvl w:val="9"/>
        <w:rPr>
          <w:rFonts w:hint="eastAsia"/>
          <w:szCs w:val="22"/>
          <w:lang w:val="en-US" w:eastAsia="zh-CN"/>
        </w:rPr>
      </w:pPr>
      <w:r>
        <w:rPr>
          <w:rFonts w:hint="eastAsia" w:ascii="方正楷体简体" w:hAnsi="方正楷体简体" w:eastAsia="方正楷体简体" w:cs="方正楷体简体"/>
          <w:lang w:val="en-US" w:eastAsia="zh-CN"/>
        </w:rPr>
        <w:t>（一）存货台账。</w:t>
      </w:r>
      <w:r>
        <w:rPr>
          <w:rFonts w:hint="eastAsia"/>
          <w:szCs w:val="22"/>
          <w:lang w:val="en-US" w:eastAsia="zh-CN"/>
        </w:rPr>
        <w:t>各单位应当建立存货台账，详细登记存货类别、编号、名称、规格型号、数量、计量单位等内容。所有存货（含生鲜食材等）应当实行出入库核算，不能直接列支成本费用。</w:t>
      </w:r>
    </w:p>
    <w:p>
      <w:pPr>
        <w:widowControl w:val="0"/>
        <w:wordWrap/>
        <w:adjustRightInd/>
        <w:snapToGrid/>
        <w:spacing w:line="560" w:lineRule="exact"/>
        <w:ind w:firstLineChars="200"/>
        <w:textAlignment w:val="baseline"/>
        <w:outlineLvl w:val="9"/>
        <w:rPr>
          <w:rFonts w:hint="eastAsia" w:ascii="方正楷体简体" w:hAnsi="方正楷体简体" w:eastAsia="方正楷体简体" w:cs="方正楷体简体"/>
          <w:lang w:val="en-US" w:eastAsia="zh-CN"/>
        </w:rPr>
      </w:pPr>
      <w:r>
        <w:rPr>
          <w:rFonts w:hint="eastAsia" w:ascii="方正楷体简体" w:hAnsi="方正楷体简体" w:eastAsia="方正楷体简体" w:cs="方正楷体简体"/>
          <w:szCs w:val="22"/>
          <w:lang w:val="en-US" w:eastAsia="zh-CN"/>
        </w:rPr>
        <w:t>（二）存货盘点。</w:t>
      </w:r>
      <w:r>
        <w:rPr>
          <w:rFonts w:hint="eastAsia"/>
          <w:szCs w:val="22"/>
          <w:lang w:val="en-US" w:eastAsia="zh-CN"/>
        </w:rPr>
        <w:t>各单位应当采用永续盘存制盘点存货（不含生鲜食材等低值易腐存货），每年至少组织一次对存货的全面清查盘点，制定盘点计划，编制盘点表，并存档备查。如出现存货盘盈、盘亏等情况，应当及时查明原因，明确工作责任，提出处理意见，并于</w:t>
      </w:r>
      <w:r>
        <w:rPr>
          <w:rFonts w:hint="eastAsia"/>
          <w:color w:val="auto"/>
          <w:szCs w:val="22"/>
          <w:lang w:val="en-US" w:eastAsia="zh-CN"/>
        </w:rPr>
        <w:t>当月末</w:t>
      </w:r>
      <w:r>
        <w:rPr>
          <w:rFonts w:hint="eastAsia"/>
          <w:szCs w:val="22"/>
          <w:lang w:val="en-US" w:eastAsia="zh-CN"/>
        </w:rPr>
        <w:t>前妥善处置。</w:t>
      </w:r>
    </w:p>
    <w:p>
      <w:pPr>
        <w:widowControl w:val="0"/>
        <w:wordWrap/>
        <w:adjustRightInd/>
        <w:snapToGrid/>
        <w:spacing w:line="560" w:lineRule="exact"/>
        <w:ind w:firstLineChars="200"/>
        <w:textAlignment w:val="baseline"/>
        <w:outlineLvl w:val="9"/>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 xml:space="preserve"> 四、存货的后续计量</w:t>
      </w:r>
    </w:p>
    <w:p>
      <w:pPr>
        <w:widowControl w:val="0"/>
        <w:wordWrap/>
        <w:adjustRightInd/>
        <w:snapToGrid/>
        <w:spacing w:line="560" w:lineRule="exact"/>
        <w:ind w:firstLineChars="200"/>
        <w:textAlignment w:val="baseline"/>
        <w:outlineLvl w:val="9"/>
        <w:rPr>
          <w:rFonts w:hint="default"/>
          <w:lang w:val="en-US" w:eastAsia="zh-CN"/>
        </w:rPr>
      </w:pPr>
      <w:r>
        <w:rPr>
          <w:rFonts w:hint="eastAsia" w:ascii="方正楷体简体" w:hAnsi="方正楷体简体" w:eastAsia="方正楷体简体" w:cs="方正楷体简体"/>
          <w:lang w:val="en-US" w:eastAsia="zh-CN"/>
        </w:rPr>
        <w:t>（一）存货的计量方法。</w:t>
      </w:r>
      <w:r>
        <w:rPr>
          <w:rFonts w:hint="eastAsia" w:ascii="宋体" w:eastAsia="方正仿宋简体"/>
          <w:lang w:val="en-US" w:eastAsia="zh-CN"/>
        </w:rPr>
        <w:t>一般情况下，各单位</w:t>
      </w:r>
      <w:r>
        <w:rPr>
          <w:rFonts w:hint="default"/>
          <w:lang w:val="en-US" w:eastAsia="zh-CN"/>
        </w:rPr>
        <w:t>应当采用先进先出法确定发出存货的实际成本。计价方法一经确定，不得随意变更。对于不能替代使用的存货、为特定项目专门购入的存货</w:t>
      </w:r>
      <w:r>
        <w:rPr>
          <w:rFonts w:hint="eastAsia" w:ascii="宋体" w:eastAsia="方正仿宋简体"/>
          <w:lang w:val="en-US" w:eastAsia="zh-CN"/>
        </w:rPr>
        <w:t>、</w:t>
      </w:r>
      <w:r>
        <w:rPr>
          <w:rFonts w:hint="eastAsia"/>
          <w:lang w:val="en-US" w:eastAsia="zh-CN"/>
        </w:rPr>
        <w:t>住宅、</w:t>
      </w:r>
      <w:r>
        <w:rPr>
          <w:rFonts w:hint="eastAsia" w:ascii="宋体" w:eastAsia="方正仿宋简体"/>
          <w:lang w:val="en-US" w:eastAsia="zh-CN"/>
        </w:rPr>
        <w:t>汽车或贵重酒水等单位价值较大的存货</w:t>
      </w:r>
      <w:r>
        <w:rPr>
          <w:rFonts w:hint="default"/>
          <w:lang w:val="en-US" w:eastAsia="zh-CN"/>
        </w:rPr>
        <w:t>，</w:t>
      </w:r>
      <w:r>
        <w:rPr>
          <w:rFonts w:hint="eastAsia"/>
          <w:lang w:val="en-US" w:eastAsia="zh-CN"/>
        </w:rPr>
        <w:t>应当</w:t>
      </w:r>
      <w:r>
        <w:rPr>
          <w:rFonts w:hint="default"/>
          <w:lang w:val="en-US" w:eastAsia="zh-CN"/>
        </w:rPr>
        <w:t>采用个别计价法确定发出存货的成本。</w:t>
      </w:r>
      <w:r>
        <w:rPr>
          <w:rFonts w:hint="eastAsia"/>
          <w:lang w:val="en-US" w:eastAsia="zh-CN"/>
        </w:rPr>
        <w:t>用于零售的存货，可以采用进销差价法确认售出存货的成本。</w:t>
      </w:r>
    </w:p>
    <w:p>
      <w:pPr>
        <w:widowControl w:val="0"/>
        <w:wordWrap/>
        <w:adjustRightInd/>
        <w:snapToGrid/>
        <w:spacing w:line="560" w:lineRule="exact"/>
        <w:ind w:firstLineChars="200"/>
        <w:textAlignment w:val="baseline"/>
        <w:outlineLvl w:val="9"/>
        <w:rPr>
          <w:rFonts w:hint="default"/>
          <w:lang w:val="en-US" w:eastAsia="zh-CN"/>
        </w:rPr>
      </w:pPr>
      <w:r>
        <w:rPr>
          <w:rFonts w:hint="default"/>
          <w:lang w:val="en-US" w:eastAsia="zh-CN"/>
        </w:rPr>
        <w:t>各单位应当采用一次转销法摊销低值易耗品、包装物，</w:t>
      </w:r>
      <w:r>
        <w:rPr>
          <w:rFonts w:hint="eastAsia"/>
          <w:lang w:val="en-US" w:eastAsia="zh-CN"/>
        </w:rPr>
        <w:t>并</w:t>
      </w:r>
      <w:r>
        <w:rPr>
          <w:rFonts w:hint="default"/>
          <w:lang w:val="en-US" w:eastAsia="zh-CN"/>
        </w:rPr>
        <w:t>将其成本计入当期费用或者相关资产成本。</w:t>
      </w:r>
    </w:p>
    <w:p>
      <w:pPr>
        <w:widowControl w:val="0"/>
        <w:numPr>
          <w:numId w:val="0"/>
        </w:numPr>
        <w:wordWrap/>
        <w:adjustRightInd/>
        <w:snapToGrid/>
        <w:spacing w:line="560" w:lineRule="exact"/>
        <w:ind w:firstLine="640" w:firstLineChars="200"/>
        <w:textAlignment w:val="baseline"/>
        <w:outlineLvl w:val="9"/>
        <w:rPr>
          <w:rFonts w:hint="eastAsia" w:ascii="方正黑体简体" w:hAnsi="方正黑体简体" w:eastAsia="方正黑体简体" w:cs="方正黑体简体"/>
          <w:lang w:val="en-US" w:eastAsia="zh-CN"/>
        </w:rPr>
      </w:pPr>
      <w:r>
        <w:rPr>
          <w:rFonts w:hint="eastAsia" w:ascii="方正楷体简体" w:hAnsi="方正楷体简体" w:eastAsia="方正楷体简体" w:cs="方正楷体简体"/>
          <w:lang w:val="en-US" w:eastAsia="zh-CN"/>
        </w:rPr>
        <w:t>（二）存货跌价准备。</w:t>
      </w:r>
      <w:r>
        <w:rPr>
          <w:rFonts w:hint="eastAsia" w:cs="Times New Roman"/>
          <w:szCs w:val="22"/>
          <w:lang w:val="en-US" w:eastAsia="zh-CN"/>
        </w:rPr>
        <w:t xml:space="preserve">资产负债表日，企业单位应当将存货按照成本与可变现净值孰低计量。其中，存货成本高于其可变现净值的，应当计提存货跌价准备，计入当期损益。以前减记存货价值的影响因素已经消失的，减记的金额应当予以恢复，并在原已计提的存货跌价准备金额内转回，转回的金额计入当期损益。 </w:t>
      </w:r>
    </w:p>
    <w:p>
      <w:pPr>
        <w:widowControl w:val="0"/>
        <w:numPr>
          <w:numId w:val="0"/>
        </w:numPr>
        <w:wordWrap/>
        <w:adjustRightInd/>
        <w:snapToGrid/>
        <w:spacing w:line="560" w:lineRule="exact"/>
        <w:textAlignment w:val="baseline"/>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szCs w:val="22"/>
          <w:lang w:val="en-US" w:eastAsia="zh-CN"/>
        </w:rPr>
        <w:t xml:space="preserve">   </w:t>
      </w:r>
      <w:r>
        <w:rPr>
          <w:rFonts w:hint="eastAsia" w:ascii="方正黑体简体" w:hAnsi="方正黑体简体" w:eastAsia="方正黑体简体" w:cs="方正黑体简体"/>
          <w:szCs w:val="22"/>
          <w:lang w:val="en-US" w:eastAsia="zh-CN"/>
        </w:rPr>
        <w:t xml:space="preserve"> 五、存货损失核销</w:t>
      </w:r>
    </w:p>
    <w:p>
      <w:pPr>
        <w:widowControl w:val="0"/>
        <w:wordWrap/>
        <w:adjustRightInd/>
        <w:snapToGrid/>
        <w:spacing w:line="560" w:lineRule="exact"/>
        <w:ind w:firstLineChars="200"/>
        <w:textAlignment w:val="baseline"/>
        <w:outlineLvl w:val="9"/>
        <w:rPr>
          <w:rFonts w:hint="eastAsia" w:ascii="宋体" w:eastAsia="方正仿宋简体"/>
          <w:szCs w:val="22"/>
          <w:lang w:val="en-US" w:eastAsia="zh-CN"/>
        </w:rPr>
      </w:pPr>
      <w:r>
        <w:rPr>
          <w:rFonts w:hint="eastAsia" w:ascii="方正楷体简体" w:hAnsi="方正楷体简体" w:eastAsia="方正楷体简体" w:cs="方正楷体简体"/>
          <w:szCs w:val="22"/>
          <w:lang w:val="en-US" w:eastAsia="zh-CN"/>
        </w:rPr>
        <w:t>（一）存货损失认定。</w:t>
      </w:r>
      <w:r>
        <w:rPr>
          <w:rFonts w:hint="eastAsia" w:ascii="宋体" w:eastAsia="方正仿宋简体"/>
          <w:szCs w:val="22"/>
          <w:lang w:val="en-US" w:eastAsia="zh-CN"/>
        </w:rPr>
        <w:t>存货</w:t>
      </w:r>
      <w:r>
        <w:rPr>
          <w:rFonts w:hint="eastAsia"/>
          <w:szCs w:val="22"/>
          <w:lang w:val="en-US" w:eastAsia="zh-CN"/>
        </w:rPr>
        <w:t>存在以下情况，扣除责任人赔偿后的部分，可以认定为损失。</w:t>
      </w:r>
    </w:p>
    <w:p>
      <w:pPr>
        <w:widowControl w:val="0"/>
        <w:wordWrap/>
        <w:adjustRightInd/>
        <w:snapToGrid/>
        <w:spacing w:line="560" w:lineRule="exact"/>
        <w:ind w:firstLineChars="200"/>
        <w:textAlignment w:val="baseline"/>
        <w:outlineLvl w:val="9"/>
        <w:rPr>
          <w:rFonts w:hint="default"/>
          <w:szCs w:val="22"/>
          <w:lang w:val="en-US" w:eastAsia="zh-CN"/>
        </w:rPr>
      </w:pPr>
      <w:r>
        <w:rPr>
          <w:rFonts w:hint="eastAsia"/>
          <w:szCs w:val="22"/>
          <w:lang w:val="en-US" w:eastAsia="zh-CN"/>
        </w:rPr>
        <w:t>1.盘亏的存货，可以根据存货盘点表、存货保管人对于盘亏情况说明、单位内部责任认定、责任人赔偿说明等认定损失。</w:t>
      </w:r>
    </w:p>
    <w:p>
      <w:pPr>
        <w:widowControl w:val="0"/>
        <w:wordWrap/>
        <w:adjustRightInd/>
        <w:snapToGrid/>
        <w:spacing w:line="560" w:lineRule="exact"/>
        <w:ind w:firstLineChars="200"/>
        <w:textAlignment w:val="baseline"/>
        <w:outlineLvl w:val="9"/>
        <w:rPr>
          <w:rFonts w:hint="default" w:ascii="方正楷体简体" w:hAnsi="方正楷体简体" w:eastAsia="方正楷体简体" w:cs="方正楷体简体"/>
          <w:szCs w:val="22"/>
          <w:lang w:val="en-US" w:eastAsia="zh-CN"/>
        </w:rPr>
      </w:pPr>
      <w:r>
        <w:rPr>
          <w:rFonts w:hint="eastAsia"/>
          <w:szCs w:val="22"/>
          <w:lang w:val="en-US" w:eastAsia="zh-CN"/>
        </w:rPr>
        <w:t>2.毁损、报废、变质的存货，可以根据单位内部关于存货报废、毁损、变质情况说明、赔偿责任认定说明等认定损失。损失数额占该类该类存货成本10%以上，或减少当年应纳税所得、增加亏损10%以上，应有专业技术鉴定意见或法定资质中介机构出具的专项报告等。</w:t>
      </w:r>
    </w:p>
    <w:p>
      <w:pPr>
        <w:widowControl w:val="0"/>
        <w:wordWrap/>
        <w:adjustRightInd/>
        <w:snapToGrid/>
        <w:spacing w:line="560" w:lineRule="exact"/>
        <w:ind w:firstLineChars="200"/>
        <w:textAlignment w:val="baseline"/>
        <w:outlineLvl w:val="9"/>
        <w:rPr>
          <w:rFonts w:hint="eastAsia"/>
          <w:szCs w:val="22"/>
          <w:lang w:val="en-US" w:eastAsia="zh-CN"/>
        </w:rPr>
      </w:pPr>
      <w:r>
        <w:rPr>
          <w:rFonts w:hint="eastAsia" w:ascii="方正楷体简体" w:hAnsi="方正楷体简体" w:eastAsia="方正楷体简体" w:cs="方正楷体简体"/>
          <w:szCs w:val="22"/>
          <w:lang w:val="en-US" w:eastAsia="zh-CN"/>
        </w:rPr>
        <w:t>（二）处置流程。</w:t>
      </w:r>
      <w:r>
        <w:rPr>
          <w:rFonts w:hint="eastAsia"/>
          <w:szCs w:val="22"/>
          <w:lang w:val="en-US" w:eastAsia="zh-CN"/>
        </w:rPr>
        <w:t>各单位单笔数额不超过20万元或者批量金额不超过50万元的存货损失核销，应当经单位办公会议批准后办理核销手续；单笔数额超过20万元或者批量金额超过50万元的，应当经单位办公会议研究并报分管局领导批准后，办理核销手续。</w:t>
      </w:r>
    </w:p>
    <w:p>
      <w:pPr>
        <w:widowControl w:val="0"/>
        <w:wordWrap/>
        <w:adjustRightInd/>
        <w:snapToGrid/>
        <w:spacing w:line="560" w:lineRule="exact"/>
        <w:ind w:firstLineChars="200"/>
        <w:textAlignment w:val="baseline"/>
        <w:outlineLvl w:val="9"/>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六、特殊存货管理</w:t>
      </w:r>
    </w:p>
    <w:p>
      <w:pPr>
        <w:widowControl w:val="0"/>
        <w:wordWrap/>
        <w:adjustRightInd/>
        <w:snapToGrid/>
        <w:spacing w:line="560" w:lineRule="exact"/>
        <w:ind w:firstLineChars="200"/>
        <w:textAlignment w:val="baseline"/>
        <w:outlineLvl w:val="9"/>
        <w:rPr>
          <w:rFonts w:hint="eastAsia" w:cs="Times New Roman"/>
          <w:szCs w:val="22"/>
          <w:lang w:val="en-US" w:eastAsia="zh-CN"/>
        </w:rPr>
      </w:pPr>
      <w:r>
        <w:rPr>
          <w:rFonts w:hint="eastAsia" w:ascii="方正楷体简体" w:hAnsi="方正楷体简体" w:eastAsia="方正楷体简体" w:cs="方正楷体简体"/>
          <w:szCs w:val="22"/>
          <w:lang w:val="en-US" w:eastAsia="zh-CN"/>
        </w:rPr>
        <w:t>（一）</w:t>
      </w:r>
      <w:bookmarkStart w:id="0" w:name="_GoBack"/>
      <w:bookmarkEnd w:id="0"/>
    </w:p>
    <w:p>
      <w:pPr>
        <w:widowControl w:val="0"/>
        <w:wordWrap/>
        <w:adjustRightInd/>
        <w:snapToGrid/>
        <w:spacing w:line="560" w:lineRule="exact"/>
        <w:ind w:firstLineChars="200"/>
        <w:textAlignment w:val="baseline"/>
        <w:outlineLvl w:val="9"/>
        <w:rPr>
          <w:rFonts w:hint="eastAsia" w:ascii="方正楷体简体" w:hAnsi="方正楷体简体" w:eastAsia="方正楷体简体" w:cs="方正楷体简体"/>
          <w:szCs w:val="22"/>
          <w:lang w:val="en-US" w:eastAsia="zh-CN"/>
        </w:rPr>
      </w:pPr>
      <w:r>
        <w:rPr>
          <w:rFonts w:hint="eastAsia" w:ascii="方正楷体简体" w:hAnsi="方正楷体简体" w:eastAsia="方正楷体简体" w:cs="方正楷体简体"/>
          <w:szCs w:val="22"/>
          <w:lang w:val="en-US" w:eastAsia="zh-CN"/>
        </w:rPr>
        <w:t>（二）在途存货。</w:t>
      </w:r>
      <w:r>
        <w:rPr>
          <w:rFonts w:hint="eastAsia" w:cs="Times New Roman"/>
          <w:szCs w:val="22"/>
          <w:lang w:val="en-US" w:eastAsia="zh-CN"/>
        </w:rPr>
        <w:t>在途物资、已发出的商品等尚未实际取得控制权的存货，如果购销双方合同约定，其所有权已经属于购买方的，则由购买方作为存货核算；如果所有权仍属于售出方的，则由售出方作为存货核算。</w:t>
      </w:r>
    </w:p>
    <w:p>
      <w:pPr>
        <w:widowControl w:val="0"/>
        <w:wordWrap/>
        <w:adjustRightInd/>
        <w:snapToGrid/>
        <w:spacing w:line="560" w:lineRule="exact"/>
        <w:ind w:firstLineChars="200"/>
        <w:textAlignment w:val="baseline"/>
        <w:outlineLvl w:val="9"/>
        <w:rPr>
          <w:rFonts w:hint="eastAsia" w:ascii="方正楷体简体" w:hAnsi="方正楷体简体" w:eastAsia="方正楷体简体" w:cs="方正楷体简体"/>
          <w:szCs w:val="22"/>
          <w:lang w:val="en-US" w:eastAsia="zh-CN"/>
        </w:rPr>
      </w:pPr>
      <w:r>
        <w:rPr>
          <w:rFonts w:hint="eastAsia" w:ascii="方正楷体简体" w:hAnsi="方正楷体简体" w:eastAsia="方正楷体简体" w:cs="方正楷体简体"/>
          <w:szCs w:val="22"/>
          <w:lang w:val="en-US" w:eastAsia="zh-CN"/>
        </w:rPr>
        <w:t>（三）自制存货。</w:t>
      </w:r>
      <w:r>
        <w:rPr>
          <w:rFonts w:hint="eastAsia" w:cs="Times New Roman"/>
          <w:szCs w:val="22"/>
          <w:lang w:val="en-US" w:eastAsia="zh-CN"/>
        </w:rPr>
        <w:t>自行加工的存货初始成本包括耗用的直接材料费用、发生的直接人工费用和按照一定方法分配的与存货加工有关的间接费用。单位以自制存货或购入存货作为非货币性福利提供给职工的，应当按照该产品的公允价值和相关税费确定职工薪酬金额，并计入当期损益或相关资产成本。相关收入的确认、销售成本的结转以及相关税费的处理，与正常商品销售的会计处理相同。</w:t>
      </w:r>
    </w:p>
    <w:p>
      <w:pPr>
        <w:widowControl w:val="0"/>
        <w:wordWrap/>
        <w:adjustRightInd/>
        <w:snapToGrid/>
        <w:spacing w:line="560" w:lineRule="exact"/>
        <w:ind w:firstLineChars="200"/>
        <w:textAlignment w:val="baseline"/>
        <w:outlineLvl w:val="9"/>
        <w:rPr>
          <w:rFonts w:hint="eastAsia" w:cs="Times New Roman"/>
          <w:szCs w:val="22"/>
          <w:lang w:val="en-US" w:eastAsia="zh-CN"/>
        </w:rPr>
      </w:pPr>
      <w:r>
        <w:rPr>
          <w:rFonts w:hint="eastAsia" w:ascii="方正楷体简体" w:hAnsi="方正楷体简体" w:eastAsia="方正楷体简体" w:cs="方正楷体简体"/>
          <w:szCs w:val="22"/>
          <w:lang w:val="en-US" w:eastAsia="zh-CN"/>
        </w:rPr>
        <w:t>（四）代售存货。</w:t>
      </w:r>
      <w:r>
        <w:rPr>
          <w:rFonts w:hint="eastAsia" w:cs="Times New Roman"/>
          <w:szCs w:val="22"/>
          <w:lang w:val="en-US" w:eastAsia="zh-CN"/>
        </w:rPr>
        <w:t>单位应当根据代售业务实质采用视同买断或收取手续费方式进行账务处理。视同买断方式下，单位应当将代销商品计入存货，在销售时确认收入并结转存货成本。</w:t>
      </w:r>
    </w:p>
    <w:p>
      <w:pPr>
        <w:widowControl w:val="0"/>
        <w:wordWrap/>
        <w:adjustRightInd/>
        <w:snapToGrid/>
        <w:spacing w:line="560" w:lineRule="exact"/>
        <w:textAlignment w:val="baseline"/>
        <w:outlineLvl w:val="9"/>
        <w:rPr>
          <w:rFonts w:hint="eastAsia" w:cs="Times New Roman"/>
          <w:szCs w:val="22"/>
          <w:lang w:val="en-US" w:eastAsia="zh-CN"/>
        </w:rPr>
      </w:pPr>
    </w:p>
    <w:sectPr>
      <w:footerReference r:id="rId4" w:type="default"/>
      <w:pgSz w:w="11906" w:h="16838"/>
      <w:pgMar w:top="1928" w:right="1531" w:bottom="1871" w:left="1531" w:header="851"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宋体" w:hAnsi="宋体" w:eastAsia="方正仿宋简体" w:cs="Times New Roman"/>
        <w:kern w:val="2"/>
        <w:sz w:val="18"/>
        <w:lang w:val="en-US" w:eastAsia="zh-CN"/>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方正仿宋简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6C8078B"/>
    <w:rsid w:val="00CA29FD"/>
    <w:rsid w:val="00DB75A3"/>
    <w:rsid w:val="011E0851"/>
    <w:rsid w:val="01485A38"/>
    <w:rsid w:val="014B3D21"/>
    <w:rsid w:val="01912FFE"/>
    <w:rsid w:val="01F4145C"/>
    <w:rsid w:val="0200404B"/>
    <w:rsid w:val="02340D9A"/>
    <w:rsid w:val="025644D6"/>
    <w:rsid w:val="0277608B"/>
    <w:rsid w:val="027B5EF8"/>
    <w:rsid w:val="029E0816"/>
    <w:rsid w:val="02C74482"/>
    <w:rsid w:val="02C9443D"/>
    <w:rsid w:val="03653367"/>
    <w:rsid w:val="037266A6"/>
    <w:rsid w:val="03F35097"/>
    <w:rsid w:val="04BE7DFB"/>
    <w:rsid w:val="04C858C7"/>
    <w:rsid w:val="050F5F64"/>
    <w:rsid w:val="05130FDD"/>
    <w:rsid w:val="0545166B"/>
    <w:rsid w:val="05AE6E15"/>
    <w:rsid w:val="05C070DA"/>
    <w:rsid w:val="05CE2182"/>
    <w:rsid w:val="06B626A2"/>
    <w:rsid w:val="06B73EBE"/>
    <w:rsid w:val="06C910F0"/>
    <w:rsid w:val="075026D8"/>
    <w:rsid w:val="07A21F71"/>
    <w:rsid w:val="07E00B0D"/>
    <w:rsid w:val="08105A91"/>
    <w:rsid w:val="08173F77"/>
    <w:rsid w:val="081C4208"/>
    <w:rsid w:val="084C7841"/>
    <w:rsid w:val="08870D48"/>
    <w:rsid w:val="08D745E3"/>
    <w:rsid w:val="08FC5DAE"/>
    <w:rsid w:val="094D1F57"/>
    <w:rsid w:val="0A3B6BBE"/>
    <w:rsid w:val="0A3D3077"/>
    <w:rsid w:val="0A4F1382"/>
    <w:rsid w:val="0A621F05"/>
    <w:rsid w:val="0A810792"/>
    <w:rsid w:val="0AED524D"/>
    <w:rsid w:val="0B333FCA"/>
    <w:rsid w:val="0B353B8D"/>
    <w:rsid w:val="0BE202FA"/>
    <w:rsid w:val="0BE711C8"/>
    <w:rsid w:val="0C157781"/>
    <w:rsid w:val="0C67639E"/>
    <w:rsid w:val="0CA040FA"/>
    <w:rsid w:val="0CB528C4"/>
    <w:rsid w:val="0D6F58BC"/>
    <w:rsid w:val="0DA06855"/>
    <w:rsid w:val="0DC90F05"/>
    <w:rsid w:val="0E000211"/>
    <w:rsid w:val="0E580243"/>
    <w:rsid w:val="0E596F5E"/>
    <w:rsid w:val="0E8C1476"/>
    <w:rsid w:val="0ECB7EB9"/>
    <w:rsid w:val="0F0D6F2B"/>
    <w:rsid w:val="0F16097E"/>
    <w:rsid w:val="0FFB0684"/>
    <w:rsid w:val="0FFD5270"/>
    <w:rsid w:val="10E072B6"/>
    <w:rsid w:val="10F528B2"/>
    <w:rsid w:val="118A7D17"/>
    <w:rsid w:val="11B95B69"/>
    <w:rsid w:val="11BC6A70"/>
    <w:rsid w:val="11C521E2"/>
    <w:rsid w:val="122C3AB9"/>
    <w:rsid w:val="12546CF3"/>
    <w:rsid w:val="125B2D90"/>
    <w:rsid w:val="12A46A87"/>
    <w:rsid w:val="12DB5CCD"/>
    <w:rsid w:val="130F3854"/>
    <w:rsid w:val="1399024B"/>
    <w:rsid w:val="13A71E4F"/>
    <w:rsid w:val="14343483"/>
    <w:rsid w:val="14401A2F"/>
    <w:rsid w:val="14647571"/>
    <w:rsid w:val="148E51BE"/>
    <w:rsid w:val="14A9043D"/>
    <w:rsid w:val="14C76D3F"/>
    <w:rsid w:val="150C5C47"/>
    <w:rsid w:val="15536515"/>
    <w:rsid w:val="15963B4E"/>
    <w:rsid w:val="16053C24"/>
    <w:rsid w:val="163436F4"/>
    <w:rsid w:val="16E93D57"/>
    <w:rsid w:val="177E039D"/>
    <w:rsid w:val="17A56864"/>
    <w:rsid w:val="17BA13B7"/>
    <w:rsid w:val="17D9353E"/>
    <w:rsid w:val="17E25EDB"/>
    <w:rsid w:val="180D0B8E"/>
    <w:rsid w:val="18457B9A"/>
    <w:rsid w:val="18927A1B"/>
    <w:rsid w:val="1945252B"/>
    <w:rsid w:val="197B038B"/>
    <w:rsid w:val="1995550A"/>
    <w:rsid w:val="19C232DC"/>
    <w:rsid w:val="19DF7EA5"/>
    <w:rsid w:val="19E0081F"/>
    <w:rsid w:val="19FD2A13"/>
    <w:rsid w:val="1A2627DD"/>
    <w:rsid w:val="1A2763D9"/>
    <w:rsid w:val="1A3D57DF"/>
    <w:rsid w:val="1A872B3C"/>
    <w:rsid w:val="1AAD1A3E"/>
    <w:rsid w:val="1AD735EA"/>
    <w:rsid w:val="1B022FEF"/>
    <w:rsid w:val="1B275C2B"/>
    <w:rsid w:val="1B4B4C80"/>
    <w:rsid w:val="1B5F0B0D"/>
    <w:rsid w:val="1BA55382"/>
    <w:rsid w:val="1BB8093A"/>
    <w:rsid w:val="1BB81680"/>
    <w:rsid w:val="1C0217EA"/>
    <w:rsid w:val="1C7127C3"/>
    <w:rsid w:val="1C800D01"/>
    <w:rsid w:val="1CD17C5B"/>
    <w:rsid w:val="1D1B419C"/>
    <w:rsid w:val="1DB3363D"/>
    <w:rsid w:val="1E1F5832"/>
    <w:rsid w:val="1F01500F"/>
    <w:rsid w:val="1F270771"/>
    <w:rsid w:val="1F2C3ED3"/>
    <w:rsid w:val="1FA64867"/>
    <w:rsid w:val="1FAE3F95"/>
    <w:rsid w:val="1FE40F9F"/>
    <w:rsid w:val="200C1502"/>
    <w:rsid w:val="20247355"/>
    <w:rsid w:val="20451265"/>
    <w:rsid w:val="209C63F8"/>
    <w:rsid w:val="20A6048C"/>
    <w:rsid w:val="20B86AB1"/>
    <w:rsid w:val="20C31FF8"/>
    <w:rsid w:val="218650D9"/>
    <w:rsid w:val="21D83582"/>
    <w:rsid w:val="21DC45C0"/>
    <w:rsid w:val="2304039F"/>
    <w:rsid w:val="232A7196"/>
    <w:rsid w:val="23412B7B"/>
    <w:rsid w:val="235471D2"/>
    <w:rsid w:val="237903D0"/>
    <w:rsid w:val="23BD2557"/>
    <w:rsid w:val="23BF5691"/>
    <w:rsid w:val="241D4084"/>
    <w:rsid w:val="24DF7244"/>
    <w:rsid w:val="255038AA"/>
    <w:rsid w:val="25CD14BA"/>
    <w:rsid w:val="25CF0C1E"/>
    <w:rsid w:val="26436D49"/>
    <w:rsid w:val="278256FE"/>
    <w:rsid w:val="27FC6415"/>
    <w:rsid w:val="2801203C"/>
    <w:rsid w:val="28113033"/>
    <w:rsid w:val="283E312B"/>
    <w:rsid w:val="28581C14"/>
    <w:rsid w:val="28955CD4"/>
    <w:rsid w:val="28A738BC"/>
    <w:rsid w:val="28C42D8D"/>
    <w:rsid w:val="28F74561"/>
    <w:rsid w:val="29210840"/>
    <w:rsid w:val="293555CC"/>
    <w:rsid w:val="29981AD0"/>
    <w:rsid w:val="29D40ED6"/>
    <w:rsid w:val="2A795E0C"/>
    <w:rsid w:val="2ABC5756"/>
    <w:rsid w:val="2B083A41"/>
    <w:rsid w:val="2B4825C4"/>
    <w:rsid w:val="2C003DCA"/>
    <w:rsid w:val="2C110361"/>
    <w:rsid w:val="2C177A07"/>
    <w:rsid w:val="2CBE6DA3"/>
    <w:rsid w:val="2CCC1937"/>
    <w:rsid w:val="2CE52733"/>
    <w:rsid w:val="2D2E09C5"/>
    <w:rsid w:val="2D700584"/>
    <w:rsid w:val="2DB32FD9"/>
    <w:rsid w:val="2E1719A4"/>
    <w:rsid w:val="2E7B424B"/>
    <w:rsid w:val="2ECC79EA"/>
    <w:rsid w:val="2F1501A8"/>
    <w:rsid w:val="2F2808EA"/>
    <w:rsid w:val="2F7E6907"/>
    <w:rsid w:val="2FCD486D"/>
    <w:rsid w:val="2FE15655"/>
    <w:rsid w:val="30056DDE"/>
    <w:rsid w:val="30262BA4"/>
    <w:rsid w:val="305318F3"/>
    <w:rsid w:val="30585FC4"/>
    <w:rsid w:val="307E6299"/>
    <w:rsid w:val="316C7A4E"/>
    <w:rsid w:val="31A64B3A"/>
    <w:rsid w:val="31B55213"/>
    <w:rsid w:val="32243D85"/>
    <w:rsid w:val="32306678"/>
    <w:rsid w:val="32D246CE"/>
    <w:rsid w:val="32DE6F3E"/>
    <w:rsid w:val="33642987"/>
    <w:rsid w:val="33DC4788"/>
    <w:rsid w:val="33FB061E"/>
    <w:rsid w:val="34355ACA"/>
    <w:rsid w:val="349979E1"/>
    <w:rsid w:val="34BD7FED"/>
    <w:rsid w:val="34CF523E"/>
    <w:rsid w:val="36600850"/>
    <w:rsid w:val="368C0634"/>
    <w:rsid w:val="36C8078B"/>
    <w:rsid w:val="36F01703"/>
    <w:rsid w:val="375755A3"/>
    <w:rsid w:val="381C1654"/>
    <w:rsid w:val="3861665D"/>
    <w:rsid w:val="386E1E21"/>
    <w:rsid w:val="38976310"/>
    <w:rsid w:val="38DC32D1"/>
    <w:rsid w:val="39A30843"/>
    <w:rsid w:val="39DB79B3"/>
    <w:rsid w:val="39FD19D9"/>
    <w:rsid w:val="3A391527"/>
    <w:rsid w:val="3A6F79A4"/>
    <w:rsid w:val="3AEC5C7B"/>
    <w:rsid w:val="3B04420D"/>
    <w:rsid w:val="3B616671"/>
    <w:rsid w:val="3B7C690D"/>
    <w:rsid w:val="3BA009E3"/>
    <w:rsid w:val="3BAE3A76"/>
    <w:rsid w:val="3C260069"/>
    <w:rsid w:val="3C895728"/>
    <w:rsid w:val="3CAF07C3"/>
    <w:rsid w:val="3CCA0DDD"/>
    <w:rsid w:val="3CFB3494"/>
    <w:rsid w:val="3D0A6A4B"/>
    <w:rsid w:val="3D320221"/>
    <w:rsid w:val="3D8A7BF4"/>
    <w:rsid w:val="3DA91C1A"/>
    <w:rsid w:val="3DC54E02"/>
    <w:rsid w:val="3DFE6F47"/>
    <w:rsid w:val="3E0228C8"/>
    <w:rsid w:val="3E2C0389"/>
    <w:rsid w:val="3E313741"/>
    <w:rsid w:val="3E6338E7"/>
    <w:rsid w:val="3E6D3400"/>
    <w:rsid w:val="3EBD53CE"/>
    <w:rsid w:val="3F2C6008"/>
    <w:rsid w:val="3FAB23AA"/>
    <w:rsid w:val="3FD233DB"/>
    <w:rsid w:val="404B5FB7"/>
    <w:rsid w:val="40546F2F"/>
    <w:rsid w:val="4071065B"/>
    <w:rsid w:val="40CC1006"/>
    <w:rsid w:val="410F3E55"/>
    <w:rsid w:val="41103DE0"/>
    <w:rsid w:val="41535DB8"/>
    <w:rsid w:val="41EB75F7"/>
    <w:rsid w:val="41F77962"/>
    <w:rsid w:val="421613DD"/>
    <w:rsid w:val="421F4337"/>
    <w:rsid w:val="422361E0"/>
    <w:rsid w:val="425C48C7"/>
    <w:rsid w:val="42940F14"/>
    <w:rsid w:val="42F42921"/>
    <w:rsid w:val="433E29E1"/>
    <w:rsid w:val="43AB7937"/>
    <w:rsid w:val="43AE4A86"/>
    <w:rsid w:val="43D11FE1"/>
    <w:rsid w:val="43FD1BDE"/>
    <w:rsid w:val="441D2E3A"/>
    <w:rsid w:val="44742AEC"/>
    <w:rsid w:val="44D54452"/>
    <w:rsid w:val="456808CE"/>
    <w:rsid w:val="45C205A8"/>
    <w:rsid w:val="45D61E2D"/>
    <w:rsid w:val="45EB13E0"/>
    <w:rsid w:val="45ED6421"/>
    <w:rsid w:val="461D17A1"/>
    <w:rsid w:val="465D1C60"/>
    <w:rsid w:val="466F4CF4"/>
    <w:rsid w:val="469F6D5C"/>
    <w:rsid w:val="46C301B4"/>
    <w:rsid w:val="46E30E0C"/>
    <w:rsid w:val="470B2568"/>
    <w:rsid w:val="4773489E"/>
    <w:rsid w:val="47BB5A61"/>
    <w:rsid w:val="47C2165B"/>
    <w:rsid w:val="47DF3EBA"/>
    <w:rsid w:val="47E608B9"/>
    <w:rsid w:val="47FA5067"/>
    <w:rsid w:val="4802512D"/>
    <w:rsid w:val="486365B0"/>
    <w:rsid w:val="486A01BF"/>
    <w:rsid w:val="48B707AB"/>
    <w:rsid w:val="48F3064B"/>
    <w:rsid w:val="49011BB3"/>
    <w:rsid w:val="497130AD"/>
    <w:rsid w:val="4A3B160A"/>
    <w:rsid w:val="4A6E38BD"/>
    <w:rsid w:val="4AD10F61"/>
    <w:rsid w:val="4AE30C64"/>
    <w:rsid w:val="4AEF3595"/>
    <w:rsid w:val="4B0D7941"/>
    <w:rsid w:val="4B1D01E3"/>
    <w:rsid w:val="4B315770"/>
    <w:rsid w:val="4B3F6EB4"/>
    <w:rsid w:val="4B7F2966"/>
    <w:rsid w:val="4BB465F4"/>
    <w:rsid w:val="4BB51952"/>
    <w:rsid w:val="4BC2645B"/>
    <w:rsid w:val="4C0E4B40"/>
    <w:rsid w:val="4C203D70"/>
    <w:rsid w:val="4C3F116F"/>
    <w:rsid w:val="4C5B6099"/>
    <w:rsid w:val="4C812BD2"/>
    <w:rsid w:val="4C9E40D9"/>
    <w:rsid w:val="4D176886"/>
    <w:rsid w:val="4D414D55"/>
    <w:rsid w:val="4D881076"/>
    <w:rsid w:val="4E16673A"/>
    <w:rsid w:val="4E1A4B28"/>
    <w:rsid w:val="4E6A4CBD"/>
    <w:rsid w:val="4E8E555C"/>
    <w:rsid w:val="4F0B5589"/>
    <w:rsid w:val="4F245C9A"/>
    <w:rsid w:val="4F830B9F"/>
    <w:rsid w:val="4FC8720B"/>
    <w:rsid w:val="4FF56442"/>
    <w:rsid w:val="504E4EA9"/>
    <w:rsid w:val="50CE4362"/>
    <w:rsid w:val="50F5155B"/>
    <w:rsid w:val="51273204"/>
    <w:rsid w:val="51356739"/>
    <w:rsid w:val="516B43A9"/>
    <w:rsid w:val="51752CD4"/>
    <w:rsid w:val="51FB3CB4"/>
    <w:rsid w:val="522948B4"/>
    <w:rsid w:val="52717502"/>
    <w:rsid w:val="529D041A"/>
    <w:rsid w:val="52A259DD"/>
    <w:rsid w:val="52C23C2C"/>
    <w:rsid w:val="530D6BDA"/>
    <w:rsid w:val="5326477B"/>
    <w:rsid w:val="532D6301"/>
    <w:rsid w:val="53637C0D"/>
    <w:rsid w:val="537E1E07"/>
    <w:rsid w:val="539D7FF0"/>
    <w:rsid w:val="54212BD5"/>
    <w:rsid w:val="54A3029D"/>
    <w:rsid w:val="54C04568"/>
    <w:rsid w:val="55F562B9"/>
    <w:rsid w:val="5612467E"/>
    <w:rsid w:val="572C7079"/>
    <w:rsid w:val="57CF7D4E"/>
    <w:rsid w:val="58600D74"/>
    <w:rsid w:val="587136AC"/>
    <w:rsid w:val="589A0C62"/>
    <w:rsid w:val="59B82C1A"/>
    <w:rsid w:val="59D54B40"/>
    <w:rsid w:val="5A4D68D8"/>
    <w:rsid w:val="5AA811C2"/>
    <w:rsid w:val="5B035EFA"/>
    <w:rsid w:val="5B536DAC"/>
    <w:rsid w:val="5B6345E3"/>
    <w:rsid w:val="5C1939E0"/>
    <w:rsid w:val="5C7828DD"/>
    <w:rsid w:val="5CF338AD"/>
    <w:rsid w:val="5D0C2934"/>
    <w:rsid w:val="5D542CA2"/>
    <w:rsid w:val="5D596D46"/>
    <w:rsid w:val="5D724CEF"/>
    <w:rsid w:val="5DEB7986"/>
    <w:rsid w:val="5E3E5C96"/>
    <w:rsid w:val="5E417AB0"/>
    <w:rsid w:val="5EF2428F"/>
    <w:rsid w:val="5F58587C"/>
    <w:rsid w:val="5F5C3BDC"/>
    <w:rsid w:val="5FAD2E72"/>
    <w:rsid w:val="5FD535AE"/>
    <w:rsid w:val="6019057D"/>
    <w:rsid w:val="62974835"/>
    <w:rsid w:val="62D66292"/>
    <w:rsid w:val="63016389"/>
    <w:rsid w:val="63233422"/>
    <w:rsid w:val="634E3D13"/>
    <w:rsid w:val="63563224"/>
    <w:rsid w:val="63666F1A"/>
    <w:rsid w:val="63741F2C"/>
    <w:rsid w:val="63F96DB1"/>
    <w:rsid w:val="649A438C"/>
    <w:rsid w:val="64B1156D"/>
    <w:rsid w:val="64EB065A"/>
    <w:rsid w:val="65112764"/>
    <w:rsid w:val="653328CC"/>
    <w:rsid w:val="653D59A6"/>
    <w:rsid w:val="65632817"/>
    <w:rsid w:val="657D6AA5"/>
    <w:rsid w:val="668D3B8E"/>
    <w:rsid w:val="66971E5C"/>
    <w:rsid w:val="66EC705D"/>
    <w:rsid w:val="66F316DB"/>
    <w:rsid w:val="671D3485"/>
    <w:rsid w:val="67BC2A39"/>
    <w:rsid w:val="67D77BAB"/>
    <w:rsid w:val="67E147E5"/>
    <w:rsid w:val="67E361F2"/>
    <w:rsid w:val="68AF2F2B"/>
    <w:rsid w:val="68DA6AA1"/>
    <w:rsid w:val="69442DD0"/>
    <w:rsid w:val="69AE729A"/>
    <w:rsid w:val="6A0C2E07"/>
    <w:rsid w:val="6A416F06"/>
    <w:rsid w:val="6AE413DC"/>
    <w:rsid w:val="6B1420FB"/>
    <w:rsid w:val="6B992FC3"/>
    <w:rsid w:val="6C4C14F6"/>
    <w:rsid w:val="6C81236E"/>
    <w:rsid w:val="6C962E7C"/>
    <w:rsid w:val="6CC034AF"/>
    <w:rsid w:val="6D0D588B"/>
    <w:rsid w:val="6D3957A1"/>
    <w:rsid w:val="6DA821BE"/>
    <w:rsid w:val="6DAB6142"/>
    <w:rsid w:val="6DC31FAE"/>
    <w:rsid w:val="6DD77279"/>
    <w:rsid w:val="6E5E24F6"/>
    <w:rsid w:val="6E8157C6"/>
    <w:rsid w:val="6ECE7353"/>
    <w:rsid w:val="6F1F19EA"/>
    <w:rsid w:val="6F7B0763"/>
    <w:rsid w:val="701C7BCF"/>
    <w:rsid w:val="70592231"/>
    <w:rsid w:val="70B3787F"/>
    <w:rsid w:val="713954DF"/>
    <w:rsid w:val="71405192"/>
    <w:rsid w:val="71DB6C06"/>
    <w:rsid w:val="73184402"/>
    <w:rsid w:val="73B95328"/>
    <w:rsid w:val="74C30AFE"/>
    <w:rsid w:val="75667888"/>
    <w:rsid w:val="75E04DD8"/>
    <w:rsid w:val="75FD6C16"/>
    <w:rsid w:val="766743FB"/>
    <w:rsid w:val="766D0249"/>
    <w:rsid w:val="76F97694"/>
    <w:rsid w:val="77376504"/>
    <w:rsid w:val="781707DC"/>
    <w:rsid w:val="78AC642C"/>
    <w:rsid w:val="78B21E7B"/>
    <w:rsid w:val="790C2683"/>
    <w:rsid w:val="7945740C"/>
    <w:rsid w:val="79767630"/>
    <w:rsid w:val="7A2948A0"/>
    <w:rsid w:val="7A5D5602"/>
    <w:rsid w:val="7AD754A5"/>
    <w:rsid w:val="7AFA63A9"/>
    <w:rsid w:val="7B2C1270"/>
    <w:rsid w:val="7B711212"/>
    <w:rsid w:val="7B794B0A"/>
    <w:rsid w:val="7B7E2D27"/>
    <w:rsid w:val="7BA33B03"/>
    <w:rsid w:val="7BBA53E9"/>
    <w:rsid w:val="7BC53EEC"/>
    <w:rsid w:val="7BD20754"/>
    <w:rsid w:val="7BF56695"/>
    <w:rsid w:val="7C6D3A48"/>
    <w:rsid w:val="7C75044A"/>
    <w:rsid w:val="7CC70C8B"/>
    <w:rsid w:val="7CE41381"/>
    <w:rsid w:val="7D3A0D4A"/>
    <w:rsid w:val="7D6D4B2E"/>
    <w:rsid w:val="7DD147D9"/>
    <w:rsid w:val="7DE30872"/>
    <w:rsid w:val="7DE84BB3"/>
    <w:rsid w:val="7E133E1C"/>
    <w:rsid w:val="7E2B2090"/>
    <w:rsid w:val="7E655FF6"/>
    <w:rsid w:val="7E6E5461"/>
    <w:rsid w:val="7EA15ECD"/>
    <w:rsid w:val="7EF629DA"/>
    <w:rsid w:val="7FEDB485"/>
    <w:rsid w:val="FDDEBC89"/>
    <w:rsid w:val="FFFF43B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snapToGrid/>
      <w:spacing w:line="240" w:lineRule="auto"/>
      <w:jc w:val="both"/>
    </w:pPr>
    <w:rPr>
      <w:rFonts w:ascii="宋体" w:hAnsi="宋体" w:eastAsia="方正仿宋简体" w:cs="Times New Roman"/>
      <w:kern w:val="2"/>
      <w:sz w:val="32"/>
      <w:lang w:val="en-US" w:eastAsia="zh-CN"/>
    </w:rPr>
  </w:style>
  <w:style w:type="character" w:default="1" w:styleId="6">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qFormat/>
    <w:uiPriority w:val="0"/>
    <w:pPr>
      <w:widowControl w:val="0"/>
      <w:snapToGrid w:val="0"/>
      <w:jc w:val="left"/>
    </w:pPr>
    <w:rPr>
      <w:rFonts w:ascii="宋体" w:hAnsi="宋体" w:eastAsia="方正仿宋简体" w:cs="宋体"/>
      <w:kern w:val="2"/>
      <w:sz w:val="18"/>
      <w:lang w:val="en-US" w:eastAsia="zh-CN" w:bidi="ar-SA"/>
    </w:rPr>
  </w:style>
  <w:style w:type="paragraph" w:styleId="5">
    <w:name w:val="Normal (Web)"/>
    <w:basedOn w:val="1"/>
    <w:unhideWhenUsed/>
    <w:qFormat/>
    <w:uiPriority w:val="99"/>
    <w:pPr>
      <w:widowControl/>
      <w:jc w:val="left"/>
    </w:pPr>
    <w:rPr>
      <w:rFonts w:ascii="宋体" w:hAnsi="宋体" w:cs="宋体"/>
      <w:kern w:val="0"/>
      <w:sz w:val="24"/>
    </w:r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2021-04-23T14:39:00Z</dcterms:created>
  <dc:creator>金</dc:creator>
  <cp:lastModifiedBy>admin</cp:lastModifiedBy>
  <cp:lastPrinted>2022-10-20T10:46:00Z</cp:lastPrinted>
  <dcterms:modified xsi:type="dcterms:W3CDTF">2022-11-04T09:48:03Z</dcterms:modified>
  <dc:title>附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ribbonExt">
    <vt:lpwstr>{"btnPrintDOC":{"OnGetEnabled":true,"OnGetVisible":true,"OnGetLabel":"打印公文","GetImage":"icon/print.png"},"btnSaveFileTo":{"OnGetEnabled":true,"OnGetVisible":true,"OnGetLabel":"本地另存","GetImage":"icon/save.png"},"btnShowRevision":{"OnGetEnabled":true,"OnGetVisible":true,"OnGetLabel":"打开显示痕迹","GetImage":"icon/modify.png"},"btnAcceptAllRevisions":{"OnGetEnabled":true,"OnGetVisible":true,"OnGetLabel":"接受修订","GetImage":"icon/receive.png"},"btnRejectAllRevisions":{"OnGetEnabled":true,"OnGetVisible":true,"OnGetLabel":"拒绝修订","GetImage":"icon/reject.png"},"btnRedSuite":{"OnGetEnabled":false,"OnGetVisible":true,"OnGetLabel":"套版","GetImage":"icon/template.png"},"btnRedSuiteBack":{"OnGetEnabled":false,"OnGetVisible":true,"OnGetLabel":"恢复套版","GetImage":"icon/recover.png"},"btnSaveLastFile":{"OnGetEnabled":false,"OnGetVisible":true,"OnGetLabel":"保存终稿","GetImage":"icon/savelast.png"},"btnResume":{"OnGetEnabled":false,"OnGetVisible":true,"OnGetLabel":"恢复模板","GetImage":"icon/savelastrecover.png"},"btnSaveFile":{"OnGetEnabled":false,"OnGetVisible":true,"OnGetLabel":"保存文件","GetImage":"icon/save.png"},"btnNetSaveFile":{"OnGetEnabled":true,"OnGetVisible":true,"OnGetLabel":"存为公文","GetImage":"icon/netsave.png"},"FileSaveAs":{"OnGetEnabled":true},"FileSaveAsMenu":{"OnGetEnabled":true},"FilePrint":{"OnGetEnabled":true},"FilePrintMenu":{"OnGetEnabled":true},"ExportToPDF":{"OnGetEnabled":true},"ExportToOFD":{"OnGetEnabled":true,"OnGetVisible":true}}</vt:lpwstr>
  </property>
</Properties>
</file>